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B6BB" w14:textId="5A7F9F02" w:rsidR="002C7DC6" w:rsidRPr="00FD0333" w:rsidRDefault="002C7DC6" w:rsidP="00CE60DA">
      <w:pPr>
        <w:spacing w:line="276" w:lineRule="auto"/>
        <w:ind w:left="221" w:right="6742"/>
        <w:jc w:val="both"/>
        <w:textAlignment w:val="baseline"/>
        <w:rPr>
          <w:sz w:val="20"/>
          <w:szCs w:val="20"/>
        </w:rPr>
      </w:pPr>
    </w:p>
    <w:p w14:paraId="2BEB3166" w14:textId="77777777" w:rsidR="002C7DC6" w:rsidRPr="00FD0333" w:rsidRDefault="00480444" w:rsidP="00CE60DA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s-ES"/>
        </w:rPr>
      </w:pP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>PRINCIPAL NORMATIVA APLICABLE A</w:t>
      </w:r>
    </w:p>
    <w:p w14:paraId="78D2ED7E" w14:textId="4B0F951B" w:rsidR="002C7DC6" w:rsidRPr="00FD0333" w:rsidRDefault="00480444" w:rsidP="00CE60DA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s-ES"/>
        </w:rPr>
      </w:pP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 xml:space="preserve">PARQUE   TECNOLÓGICO DE </w:t>
      </w:r>
      <w:r w:rsidR="00617F65">
        <w:rPr>
          <w:rFonts w:ascii="Verdana" w:eastAsia="Verdana" w:hAnsi="Verdana"/>
          <w:b/>
          <w:sz w:val="20"/>
          <w:szCs w:val="20"/>
          <w:u w:val="single"/>
          <w:lang w:val="es-ES"/>
        </w:rPr>
        <w:t>ARABA</w:t>
      </w: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>, S.A.</w:t>
      </w:r>
    </w:p>
    <w:p w14:paraId="4EEDFA00" w14:textId="0C97AB5C" w:rsidR="002C7DC6" w:rsidRPr="00FD0333" w:rsidRDefault="00480444" w:rsidP="00CE60DA">
      <w:pPr>
        <w:spacing w:line="276" w:lineRule="auto"/>
        <w:jc w:val="center"/>
        <w:textAlignment w:val="baseline"/>
        <w:rPr>
          <w:rFonts w:ascii="Verdana" w:eastAsia="Verdana" w:hAnsi="Verdana"/>
          <w:b/>
          <w:sz w:val="20"/>
          <w:szCs w:val="20"/>
          <w:u w:val="single"/>
          <w:lang w:val="es-ES"/>
        </w:rPr>
      </w:pP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>(en adelante P</w:t>
      </w:r>
      <w:r w:rsidR="00617F65">
        <w:rPr>
          <w:rFonts w:ascii="Verdana" w:eastAsia="Verdana" w:hAnsi="Verdana"/>
          <w:b/>
          <w:sz w:val="20"/>
          <w:szCs w:val="20"/>
          <w:u w:val="single"/>
          <w:lang w:val="es-ES"/>
        </w:rPr>
        <w:t>TA</w:t>
      </w: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>)</w:t>
      </w:r>
    </w:p>
    <w:p w14:paraId="2A56FEB7" w14:textId="77777777" w:rsidR="00C11FD5" w:rsidRPr="00FD0333" w:rsidRDefault="00C11FD5" w:rsidP="00CE60DA">
      <w:pPr>
        <w:spacing w:line="276" w:lineRule="auto"/>
        <w:jc w:val="both"/>
        <w:textAlignment w:val="baseline"/>
        <w:rPr>
          <w:rFonts w:ascii="Verdana" w:eastAsia="Verdana" w:hAnsi="Verdana"/>
          <w:b/>
          <w:sz w:val="20"/>
          <w:szCs w:val="20"/>
          <w:u w:val="single"/>
          <w:lang w:val="es-ES"/>
        </w:rPr>
      </w:pPr>
    </w:p>
    <w:p w14:paraId="6903E4B9" w14:textId="77777777" w:rsidR="00C11FD5" w:rsidRPr="00FD0333" w:rsidRDefault="00C11FD5" w:rsidP="00CE60DA">
      <w:pPr>
        <w:spacing w:line="276" w:lineRule="auto"/>
        <w:jc w:val="both"/>
        <w:textAlignment w:val="baseline"/>
        <w:rPr>
          <w:rFonts w:ascii="Verdana" w:eastAsia="Verdana" w:hAnsi="Verdana"/>
          <w:b/>
          <w:sz w:val="20"/>
          <w:szCs w:val="20"/>
          <w:u w:val="single"/>
          <w:lang w:val="es-ES"/>
        </w:rPr>
      </w:pPr>
    </w:p>
    <w:p w14:paraId="1A9CBC53" w14:textId="114FCFC0" w:rsidR="002C7DC6" w:rsidRPr="00FD0333" w:rsidRDefault="00480444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b/>
          <w:sz w:val="20"/>
          <w:szCs w:val="20"/>
          <w:lang w:val="es-ES"/>
        </w:rPr>
      </w:pPr>
      <w:r w:rsidRPr="00FD0333">
        <w:rPr>
          <w:rFonts w:ascii="Verdana" w:eastAsia="Verdana" w:hAnsi="Verdana"/>
          <w:b/>
          <w:sz w:val="20"/>
          <w:szCs w:val="20"/>
          <w:lang w:val="es-ES"/>
        </w:rPr>
        <w:t>Ha de señalarse que la normativa que se indica a continuación como aplicable a P</w:t>
      </w:r>
      <w:r w:rsidR="00617F65">
        <w:rPr>
          <w:rFonts w:ascii="Verdana" w:eastAsia="Verdana" w:hAnsi="Verdana"/>
          <w:b/>
          <w:sz w:val="20"/>
          <w:szCs w:val="20"/>
          <w:lang w:val="es-ES"/>
        </w:rPr>
        <w:t>TA</w:t>
      </w:r>
      <w:r w:rsidRPr="00FD0333">
        <w:rPr>
          <w:rFonts w:ascii="Verdana" w:eastAsia="Verdana" w:hAnsi="Verdana"/>
          <w:b/>
          <w:sz w:val="20"/>
          <w:szCs w:val="20"/>
          <w:lang w:val="es-ES"/>
        </w:rPr>
        <w:t xml:space="preserve">, lo es a título </w:t>
      </w:r>
      <w:r w:rsidRPr="00FD0333">
        <w:rPr>
          <w:rFonts w:ascii="Verdana" w:eastAsia="Verdana" w:hAnsi="Verdana"/>
          <w:b/>
          <w:sz w:val="20"/>
          <w:szCs w:val="20"/>
          <w:u w:val="single"/>
          <w:lang w:val="es-ES"/>
        </w:rPr>
        <w:t>meramente enunciativo</w:t>
      </w:r>
      <w:r w:rsidRPr="00FD0333">
        <w:rPr>
          <w:rFonts w:ascii="Verdana" w:eastAsia="Verdana" w:hAnsi="Verdana"/>
          <w:b/>
          <w:sz w:val="20"/>
          <w:szCs w:val="20"/>
          <w:lang w:val="es-ES"/>
        </w:rPr>
        <w:t>, no limitativo, al ser prácticamente imposible hacer una relación exhaustiva de las normas aplicables a P</w:t>
      </w:r>
      <w:r w:rsidR="00617F65">
        <w:rPr>
          <w:rFonts w:ascii="Verdana" w:eastAsia="Verdana" w:hAnsi="Verdana"/>
          <w:b/>
          <w:sz w:val="20"/>
          <w:szCs w:val="20"/>
          <w:lang w:val="es-ES"/>
        </w:rPr>
        <w:t>TA</w:t>
      </w:r>
      <w:r w:rsidRPr="00FD0333">
        <w:rPr>
          <w:rFonts w:ascii="Verdana" w:eastAsia="Verdana" w:hAnsi="Verdana"/>
          <w:b/>
          <w:sz w:val="20"/>
          <w:szCs w:val="20"/>
          <w:lang w:val="es-ES"/>
        </w:rPr>
        <w:t>, sin riesgo de omisión; dado que dependiendo del ámbito de actividad serían aplicables distintas ramas del Derecho, y de distinto rango, desde la Constitución española en lo que se refiere, entre otros a los derechos fundamentales de las personas que forman parte de P</w:t>
      </w:r>
      <w:r w:rsidR="00617F65">
        <w:rPr>
          <w:rFonts w:ascii="Verdana" w:eastAsia="Verdana" w:hAnsi="Verdana"/>
          <w:b/>
          <w:sz w:val="20"/>
          <w:szCs w:val="20"/>
          <w:lang w:val="es-ES"/>
        </w:rPr>
        <w:t>TA</w:t>
      </w:r>
      <w:r w:rsidRPr="00FD0333">
        <w:rPr>
          <w:rFonts w:ascii="Verdana" w:eastAsia="Verdana" w:hAnsi="Verdana"/>
          <w:b/>
          <w:sz w:val="20"/>
          <w:szCs w:val="20"/>
          <w:lang w:val="es-ES"/>
        </w:rPr>
        <w:t>, las Directivas europeas, hasta las órdenes y ordenanzas municipales de rango menor.</w:t>
      </w:r>
    </w:p>
    <w:p w14:paraId="715E623B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b/>
          <w:sz w:val="20"/>
          <w:szCs w:val="20"/>
          <w:lang w:val="es-ES"/>
        </w:rPr>
      </w:pPr>
    </w:p>
    <w:p w14:paraId="09F18C54" w14:textId="77777777" w:rsidR="002C7DC6" w:rsidRPr="00FD0333" w:rsidRDefault="00480444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Insistimos que únicamente a título enunciativo, no limitativo, podemos señalar las siguientes disposiciones:</w:t>
      </w:r>
    </w:p>
    <w:p w14:paraId="2079B1A3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3DDD4AEC" w14:textId="0C63EC97" w:rsidR="00C11FD5" w:rsidRPr="00FD0333" w:rsidRDefault="00480444" w:rsidP="00CE60DA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Como normativa propia, debe señalarse la siguiente:</w:t>
      </w:r>
    </w:p>
    <w:p w14:paraId="13ABD464" w14:textId="3BF4526E" w:rsidR="00C11FD5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="00CE60DA" w:rsidRPr="00FD0333">
        <w:rPr>
          <w:rFonts w:ascii="Verdana" w:eastAsia="Verdana" w:hAnsi="Verdana"/>
          <w:sz w:val="20"/>
          <w:szCs w:val="20"/>
          <w:lang w:val="es-ES"/>
        </w:rPr>
        <w:t xml:space="preserve"> </w:t>
      </w:r>
      <w:r w:rsidR="00617F65">
        <w:rPr>
          <w:rFonts w:ascii="Verdana" w:eastAsia="Verdana" w:hAnsi="Verdana"/>
          <w:sz w:val="20"/>
          <w:szCs w:val="20"/>
          <w:lang w:val="es-ES"/>
        </w:rPr>
        <w:t>Decreto 232/1992 de 11 de diciembre</w:t>
      </w:r>
      <w:r w:rsidRPr="00FD0333">
        <w:rPr>
          <w:rFonts w:ascii="Verdana" w:eastAsia="Verdana" w:hAnsi="Verdana"/>
          <w:sz w:val="20"/>
          <w:szCs w:val="20"/>
          <w:lang w:val="es-ES"/>
        </w:rPr>
        <w:t>.</w:t>
      </w:r>
    </w:p>
    <w:p w14:paraId="76F08448" w14:textId="0042592E" w:rsidR="00CE60DA" w:rsidRPr="00FD0333" w:rsidRDefault="00480444" w:rsidP="002551CE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Estatutos de la sociedad.</w:t>
      </w:r>
    </w:p>
    <w:p w14:paraId="6500DE67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23F92F68" w14:textId="6687FD3C" w:rsidR="002C7DC6" w:rsidRPr="00FD0333" w:rsidRDefault="00480444" w:rsidP="00CE60DA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En segundo lugar, P</w:t>
      </w:r>
      <w:r w:rsidR="00617F65">
        <w:rPr>
          <w:rFonts w:ascii="Verdana" w:eastAsia="Verdana" w:hAnsi="Verdana"/>
          <w:sz w:val="20"/>
          <w:szCs w:val="20"/>
          <w:lang w:val="es-ES"/>
        </w:rPr>
        <w:t>TA</w:t>
      </w:r>
      <w:r w:rsidRPr="00FD0333">
        <w:rPr>
          <w:rFonts w:ascii="Verdana" w:eastAsia="Verdana" w:hAnsi="Verdana"/>
          <w:sz w:val="20"/>
          <w:szCs w:val="20"/>
          <w:lang w:val="es-ES"/>
        </w:rPr>
        <w:t>, como sociedad anónima se rige por las normas de derecho privado aplicables a este tipo de sociedades, estando, por tanto, sujeta en su actividad y funcionamiento a la legislación de aplicación a las sociedades mercantiles.</w:t>
      </w:r>
    </w:p>
    <w:p w14:paraId="4B02F6D0" w14:textId="153BF508" w:rsidR="002551CE" w:rsidRPr="00FD0333" w:rsidRDefault="002551CE" w:rsidP="002551CE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Real Decreto Legislativo 1/2010, de 2 de julio, por el que se aprueba el texto refundido de la Ley de Sociedades de Capital.</w:t>
      </w:r>
    </w:p>
    <w:p w14:paraId="40760736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299C6E77" w14:textId="343A8ABB" w:rsidR="002C7DC6" w:rsidRPr="00FD0333" w:rsidRDefault="00480444" w:rsidP="00CE60DA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Además, debemos señalar que P</w:t>
      </w:r>
      <w:r w:rsidR="00617F65">
        <w:rPr>
          <w:rFonts w:ascii="Verdana" w:eastAsia="Verdana" w:hAnsi="Verdana"/>
          <w:sz w:val="20"/>
          <w:szCs w:val="20"/>
          <w:lang w:val="es-ES"/>
        </w:rPr>
        <w:t>TA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, al ser una </w:t>
      </w:r>
      <w:r w:rsidRPr="00FD0333">
        <w:rPr>
          <w:rFonts w:ascii="Verdana" w:eastAsia="Verdana" w:hAnsi="Verdana"/>
          <w:sz w:val="20"/>
          <w:szCs w:val="20"/>
          <w:u w:val="single"/>
          <w:lang w:val="es-ES"/>
        </w:rPr>
        <w:t>sociedad pública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 </w:t>
      </w:r>
      <w:r w:rsidR="00AE7767" w:rsidRPr="00FD0333">
        <w:rPr>
          <w:rFonts w:ascii="Verdana" w:eastAsia="Verdana" w:hAnsi="Verdana"/>
          <w:sz w:val="20"/>
          <w:szCs w:val="20"/>
          <w:lang w:val="es-ES"/>
        </w:rPr>
        <w:t xml:space="preserve">integrada en su totalidad por entidades pertenecientes al sector público y 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dependiente del </w:t>
      </w:r>
      <w:r w:rsidR="00CE60DA" w:rsidRPr="00FD0333">
        <w:rPr>
          <w:rFonts w:ascii="Verdana" w:eastAsia="Verdana" w:hAnsi="Verdana"/>
          <w:sz w:val="20"/>
          <w:szCs w:val="20"/>
          <w:lang w:val="es-ES"/>
        </w:rPr>
        <w:t>Departamento de Desarrollo Económico, Sostenibilidad y Medio Ambiente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 del Gobierno Vasco, y por tanto formar parte del </w:t>
      </w:r>
      <w:r w:rsidRPr="00FD0333">
        <w:rPr>
          <w:rFonts w:ascii="Verdana" w:eastAsia="Verdana" w:hAnsi="Verdana"/>
          <w:sz w:val="20"/>
          <w:szCs w:val="20"/>
          <w:u w:val="single"/>
          <w:lang w:val="es-ES"/>
        </w:rPr>
        <w:t>Sector Público</w:t>
      </w:r>
      <w:r w:rsidRPr="00FD0333">
        <w:rPr>
          <w:rFonts w:ascii="Verdana" w:eastAsia="Verdana" w:hAnsi="Verdana"/>
          <w:sz w:val="20"/>
          <w:szCs w:val="20"/>
          <w:lang w:val="es-ES"/>
        </w:rPr>
        <w:t>, está sujeta a la legislación estatal y autonómica aplicable a las sociedades públicas, siendo destacables las siguientes disposiciones:</w:t>
      </w:r>
    </w:p>
    <w:p w14:paraId="4CB4F6E9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7146A238" w14:textId="77777777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i/>
          <w:iCs/>
          <w:sz w:val="20"/>
          <w:szCs w:val="20"/>
          <w:u w:val="single"/>
          <w:lang w:val="es-ES"/>
        </w:rPr>
        <w:t>Legislación estatal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: </w:t>
      </w:r>
    </w:p>
    <w:p w14:paraId="3DCA3A20" w14:textId="77777777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38/2003, de 17 de noviembre, General de Subvenciones.</w:t>
      </w:r>
    </w:p>
    <w:p w14:paraId="66CB585F" w14:textId="76B595B5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9/2017, de 8 de noviembre, de Contratos del Sector Público, por la</w:t>
      </w:r>
      <w:r w:rsidR="00CE60DA" w:rsidRPr="00FD0333">
        <w:rPr>
          <w:rFonts w:ascii="Verdana" w:eastAsia="Verdana" w:hAnsi="Verdana"/>
          <w:sz w:val="20"/>
          <w:szCs w:val="20"/>
          <w:lang w:val="es-ES"/>
        </w:rPr>
        <w:t xml:space="preserve"> </w:t>
      </w:r>
      <w:r w:rsidRPr="00FD0333">
        <w:rPr>
          <w:rFonts w:ascii="Verdana" w:eastAsia="Verdana" w:hAnsi="Verdana"/>
          <w:sz w:val="20"/>
          <w:szCs w:val="20"/>
          <w:lang w:val="es-ES"/>
        </w:rPr>
        <w:t>que se transponen al ordenamiento jurídico español las Directivas del</w:t>
      </w:r>
      <w:r w:rsidR="00CE60DA" w:rsidRPr="00FD0333">
        <w:rPr>
          <w:rFonts w:ascii="Verdana" w:eastAsia="Verdana" w:hAnsi="Verdana"/>
          <w:sz w:val="20"/>
          <w:szCs w:val="20"/>
          <w:lang w:val="es-ES"/>
        </w:rPr>
        <w:t xml:space="preserve"> </w:t>
      </w:r>
      <w:r w:rsidRPr="00FD0333">
        <w:rPr>
          <w:rFonts w:ascii="Verdana" w:eastAsia="Verdana" w:hAnsi="Verdana"/>
          <w:sz w:val="20"/>
          <w:szCs w:val="20"/>
          <w:lang w:val="es-ES"/>
        </w:rPr>
        <w:t>Parlamento Europeo y del Consejo 2014/23/UE y 2014/24/UE.</w:t>
      </w:r>
    </w:p>
    <w:p w14:paraId="2F819BFE" w14:textId="6B6106FA" w:rsidR="00CE60DA" w:rsidRPr="00FD0333" w:rsidRDefault="00CE60DA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Real Decreto 1098/2001, de 12 de octubre, por el que se aprueba el Reglamento general de la Ley de Contratos de las Administraciones Públicas</w:t>
      </w:r>
      <w:r w:rsidR="002551CE" w:rsidRPr="00FD0333">
        <w:rPr>
          <w:rFonts w:ascii="Verdana" w:eastAsia="Verdana" w:hAnsi="Verdana"/>
          <w:sz w:val="20"/>
          <w:szCs w:val="20"/>
          <w:lang w:val="es-ES"/>
        </w:rPr>
        <w:t>.</w:t>
      </w:r>
    </w:p>
    <w:p w14:paraId="220A103A" w14:textId="0B660125" w:rsidR="002C7DC6" w:rsidRPr="00FD0333" w:rsidRDefault="002C7DC6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547E3ABA" w14:textId="77777777" w:rsidR="00AE7767" w:rsidRPr="00FD0333" w:rsidRDefault="00AE7767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i/>
          <w:iCs/>
          <w:sz w:val="20"/>
          <w:szCs w:val="20"/>
          <w:u w:val="single"/>
          <w:lang w:val="es-ES"/>
        </w:rPr>
      </w:pPr>
    </w:p>
    <w:p w14:paraId="771D4122" w14:textId="36AE36EF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i/>
          <w:iCs/>
          <w:sz w:val="20"/>
          <w:szCs w:val="20"/>
          <w:u w:val="single"/>
          <w:lang w:val="es-ES"/>
        </w:rPr>
        <w:lastRenderedPageBreak/>
        <w:t>Normativa propia de la CAPV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: </w:t>
      </w:r>
    </w:p>
    <w:p w14:paraId="58E581E1" w14:textId="0BDFCB61" w:rsidR="00AE7767" w:rsidRPr="00FD0333" w:rsidRDefault="00AE7767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3/2022, de 12 de mayo, del Sector Público Vasco.</w:t>
      </w:r>
    </w:p>
    <w:p w14:paraId="38589ACE" w14:textId="410E33C9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3/2016, de 7 de abril, para la inclusión de determinadas cláusulas</w:t>
      </w:r>
    </w:p>
    <w:p w14:paraId="01BAF3F0" w14:textId="62A962E5" w:rsidR="00AE7767" w:rsidRPr="00FD0333" w:rsidRDefault="00480444" w:rsidP="00AE7767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sociales en la contratación pública.</w:t>
      </w:r>
    </w:p>
    <w:p w14:paraId="4CEAB2C4" w14:textId="4D5A86A5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Decreto 116/2016, de 27 de julio, sobre el régimen de la contratación del</w:t>
      </w:r>
      <w:r w:rsidR="00CE60DA" w:rsidRPr="00FD0333">
        <w:rPr>
          <w:rFonts w:ascii="Verdana" w:eastAsia="Verdana" w:hAnsi="Verdana"/>
          <w:sz w:val="20"/>
          <w:szCs w:val="20"/>
          <w:lang w:val="es-ES"/>
        </w:rPr>
        <w:t xml:space="preserve"> </w:t>
      </w:r>
      <w:r w:rsidRPr="00FD0333">
        <w:rPr>
          <w:rFonts w:ascii="Verdana" w:eastAsia="Verdana" w:hAnsi="Verdana"/>
          <w:sz w:val="20"/>
          <w:szCs w:val="20"/>
          <w:lang w:val="es-ES"/>
        </w:rPr>
        <w:t>sector público de la Comunidad Autónoma de Euskadi.</w:t>
      </w:r>
    </w:p>
    <w:p w14:paraId="62D8F34D" w14:textId="77777777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Decreto Legislativo 1/1997, de 11 de noviembre, por el que se aprueba el Texto Refundido de la Ley de Principios Ordenadores de la Hacienda General del País Vasco.</w:t>
      </w:r>
    </w:p>
    <w:p w14:paraId="1F0448E8" w14:textId="026DB172" w:rsidR="00AE7767" w:rsidRPr="00FD0333" w:rsidRDefault="00AE7767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Disposición final cuarta de la Ley 1/2022, de 03 de marzo de 2022, de segunda modificación de la Ley de Igualdad de Mujeres y Hombres que modifica el texto refundido de la Ley de Principios Ordenadores de la Hacienda de Euskadi.</w:t>
      </w:r>
    </w:p>
    <w:p w14:paraId="27A2B1C9" w14:textId="5C9C56AF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  <w:sectPr w:rsidR="002C7DC6" w:rsidRPr="00FD0333" w:rsidSect="00AE7767">
          <w:headerReference w:type="default" r:id="rId7"/>
          <w:footerReference w:type="even" r:id="rId8"/>
          <w:footerReference w:type="default" r:id="rId9"/>
          <w:pgSz w:w="11909" w:h="16838"/>
          <w:pgMar w:top="1862" w:right="1351" w:bottom="1813" w:left="1478" w:header="720" w:footer="720" w:gutter="0"/>
          <w:cols w:space="720"/>
        </w:sect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Decreto Legislativo 2/2007, de 6 de noviembre, de aprobación del Texto Refundido de la Ley de Patrimonio de Euskadi.</w:t>
      </w:r>
    </w:p>
    <w:p w14:paraId="18C805D7" w14:textId="45881B4D" w:rsidR="002C7DC6" w:rsidRPr="00FD0333" w:rsidRDefault="002C7DC6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4C94C69F" w14:textId="20642E30" w:rsidR="002C7DC6" w:rsidRPr="00FD0333" w:rsidRDefault="00480444" w:rsidP="00CE60DA">
      <w:pPr>
        <w:pStyle w:val="Prrafodelista"/>
        <w:numPr>
          <w:ilvl w:val="0"/>
          <w:numId w:val="2"/>
        </w:num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Igualmente han de citarse, dada su importancia en la actividad de la sociedad, las siguientes:</w:t>
      </w:r>
    </w:p>
    <w:p w14:paraId="7CA93137" w14:textId="0F2B14C0" w:rsidR="00E84BAA" w:rsidRPr="00FD0333" w:rsidRDefault="00E84BAA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Código Penal, en lo relativo a la responsabilidad penal de las personas jurídicas, junto con la implantación de sistemas de prevención de riesgos penales y  sistemas de ética o integridad.</w:t>
      </w:r>
    </w:p>
    <w:p w14:paraId="0294A07A" w14:textId="7F691074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19/2013, de 9 de diciembre, de transparencia, acceso a la información pública y buen gobierno.</w:t>
      </w:r>
    </w:p>
    <w:p w14:paraId="1ADD0C37" w14:textId="77777777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Orgánica 3/2018, de 5 de diciembre, de Protección de Datos Personales y garantía de los derechos digitales</w:t>
      </w:r>
    </w:p>
    <w:p w14:paraId="2D2A4DAF" w14:textId="77777777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Real Decreto Legislativo 2/2015, de 23 de octubre, por el que se aprueba el texto refundido de la Ley del Estatuto de los Trabajadores.</w:t>
      </w:r>
    </w:p>
    <w:p w14:paraId="6954F58E" w14:textId="77777777" w:rsidR="00AE7767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Ley 31/1995, de 8 de noviembre, de Prevención de Riesgos Laborales.</w:t>
      </w:r>
    </w:p>
    <w:p w14:paraId="4AF309CA" w14:textId="6DC2E841" w:rsidR="002C7DC6" w:rsidRPr="00FD0333" w:rsidRDefault="00480444" w:rsidP="00CE60DA">
      <w:pPr>
        <w:spacing w:line="276" w:lineRule="auto"/>
        <w:ind w:left="1276" w:right="360" w:hanging="283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proofErr w:type="gramStart"/>
      <w:r w:rsidRPr="00FD0333">
        <w:rPr>
          <w:rFonts w:ascii="Verdana" w:eastAsia="Verdana" w:hAnsi="Verdana"/>
          <w:sz w:val="20"/>
          <w:szCs w:val="20"/>
          <w:lang w:val="es-ES"/>
        </w:rPr>
        <w:t>.-</w:t>
      </w:r>
      <w:proofErr w:type="gramEnd"/>
      <w:r w:rsidRPr="00FD0333">
        <w:rPr>
          <w:rFonts w:ascii="Verdana" w:eastAsia="Verdana" w:hAnsi="Verdana"/>
          <w:sz w:val="20"/>
          <w:szCs w:val="20"/>
          <w:lang w:val="es-ES"/>
        </w:rPr>
        <w:t xml:space="preserve"> Etc.</w:t>
      </w:r>
    </w:p>
    <w:p w14:paraId="1F7A8B2B" w14:textId="77777777" w:rsidR="00C11FD5" w:rsidRPr="00FD0333" w:rsidRDefault="00C11FD5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73FA6DC2" w14:textId="77777777" w:rsidR="00CE60DA" w:rsidRPr="00FD0333" w:rsidRDefault="00CE60DA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68CB74B4" w14:textId="60CD55CB" w:rsidR="002C7DC6" w:rsidRPr="00FD0333" w:rsidRDefault="00480444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>PCT</w:t>
      </w:r>
      <w:r w:rsidR="00C04704">
        <w:rPr>
          <w:rFonts w:ascii="Verdana" w:eastAsia="Verdana" w:hAnsi="Verdana"/>
          <w:sz w:val="20"/>
          <w:szCs w:val="20"/>
          <w:lang w:val="es-ES"/>
        </w:rPr>
        <w:t>G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 tiene contratado el servicio jurídico con </w:t>
      </w:r>
      <w:r w:rsidR="00CE60DA" w:rsidRPr="00FD0333">
        <w:rPr>
          <w:rFonts w:ascii="Verdana" w:eastAsia="Verdana" w:hAnsi="Verdana"/>
          <w:sz w:val="20"/>
          <w:szCs w:val="20"/>
          <w:lang w:val="es-ES"/>
        </w:rPr>
        <w:t>IPARBILBAO ABOGADOS, S.L.P.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 que identifica, a petición de la sociedad, los requisitos legales y reglamentarios que pudieran ser de aplicación.</w:t>
      </w:r>
    </w:p>
    <w:p w14:paraId="4AE80BF6" w14:textId="77777777" w:rsidR="00C11FD5" w:rsidRPr="00FD0333" w:rsidRDefault="00C11FD5" w:rsidP="00CE60DA">
      <w:pPr>
        <w:spacing w:line="276" w:lineRule="auto"/>
        <w:ind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</w:p>
    <w:p w14:paraId="0EE11932" w14:textId="7A137030" w:rsidR="002C7DC6" w:rsidRPr="00FD0333" w:rsidRDefault="00480444" w:rsidP="00CE60DA">
      <w:pPr>
        <w:spacing w:line="276" w:lineRule="auto"/>
        <w:ind w:left="216" w:right="360"/>
        <w:jc w:val="both"/>
        <w:textAlignment w:val="baseline"/>
        <w:rPr>
          <w:rFonts w:ascii="Verdana" w:eastAsia="Verdana" w:hAnsi="Verdana"/>
          <w:sz w:val="20"/>
          <w:szCs w:val="20"/>
          <w:lang w:val="es-ES"/>
        </w:rPr>
      </w:pPr>
      <w:r w:rsidRPr="00FD0333">
        <w:rPr>
          <w:rFonts w:ascii="Verdana" w:eastAsia="Verdana" w:hAnsi="Verdana"/>
          <w:sz w:val="20"/>
          <w:szCs w:val="20"/>
          <w:lang w:val="es-ES"/>
        </w:rPr>
        <w:t xml:space="preserve">Revisado por </w:t>
      </w:r>
      <w:bookmarkStart w:id="0" w:name="_Hlk135203608"/>
      <w:r w:rsidR="00C11FD5" w:rsidRPr="00FD0333">
        <w:rPr>
          <w:rFonts w:ascii="Verdana" w:eastAsia="Verdana" w:hAnsi="Verdana"/>
          <w:sz w:val="20"/>
          <w:szCs w:val="20"/>
          <w:lang w:val="es-ES"/>
        </w:rPr>
        <w:t>IPARBILBAO</w:t>
      </w:r>
      <w:r w:rsidRPr="00FD0333">
        <w:rPr>
          <w:rFonts w:ascii="Verdana" w:eastAsia="Verdana" w:hAnsi="Verdana"/>
          <w:sz w:val="20"/>
          <w:szCs w:val="20"/>
          <w:lang w:val="es-ES"/>
        </w:rPr>
        <w:t xml:space="preserve"> ABOGADOS, S.L.P.</w:t>
      </w:r>
      <w:bookmarkEnd w:id="0"/>
      <w:r w:rsidRPr="00FD0333">
        <w:rPr>
          <w:rFonts w:ascii="Verdana" w:eastAsia="Verdana" w:hAnsi="Verdana"/>
          <w:sz w:val="20"/>
          <w:szCs w:val="20"/>
          <w:lang w:val="es-ES"/>
        </w:rPr>
        <w:t xml:space="preserve">, </w:t>
      </w:r>
      <w:r w:rsidR="00C11FD5" w:rsidRPr="00FD0333">
        <w:rPr>
          <w:rFonts w:ascii="Verdana" w:eastAsia="Verdana" w:hAnsi="Verdana"/>
          <w:sz w:val="20"/>
          <w:szCs w:val="20"/>
          <w:lang w:val="es-ES"/>
        </w:rPr>
        <w:t>a 17 de mayo de 2023.</w:t>
      </w:r>
    </w:p>
    <w:sectPr w:rsidR="002C7DC6" w:rsidRPr="00FD0333" w:rsidSect="00C11FD5">
      <w:type w:val="continuous"/>
      <w:pgSz w:w="11909" w:h="16838"/>
      <w:pgMar w:top="960" w:right="1491" w:bottom="1539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FEC2" w14:textId="77777777" w:rsidR="00107B35" w:rsidRDefault="00107B35">
      <w:r>
        <w:separator/>
      </w:r>
    </w:p>
  </w:endnote>
  <w:endnote w:type="continuationSeparator" w:id="0">
    <w:p w14:paraId="7D897208" w14:textId="77777777" w:rsidR="00107B35" w:rsidRDefault="0010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5071714"/>
      <w:docPartObj>
        <w:docPartGallery w:val="Page Numbers (Bottom of Page)"/>
        <w:docPartUnique/>
      </w:docPartObj>
    </w:sdtPr>
    <w:sdtContent>
      <w:p w14:paraId="523E42A8" w14:textId="63B225DD" w:rsidR="00C11FD5" w:rsidRDefault="00C11FD5" w:rsidP="0047525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27E1145" w14:textId="77777777" w:rsidR="00C11FD5" w:rsidRDefault="00C11FD5" w:rsidP="00C11F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DD75" w14:textId="62A1D15D" w:rsidR="00C11FD5" w:rsidRPr="00C11FD5" w:rsidRDefault="00C11FD5" w:rsidP="00C11FD5">
    <w:pPr>
      <w:pStyle w:val="Encabezado"/>
      <w:pBdr>
        <w:top w:val="single" w:sz="6" w:space="10" w:color="4472C4" w:themeColor="accent1"/>
      </w:pBdr>
      <w:jc w:val="both"/>
      <w:rPr>
        <w:rFonts w:ascii="Verdana" w:hAnsi="Verdana"/>
        <w:color w:val="4472C4" w:themeColor="accent1"/>
        <w:lang w:val="es-ES"/>
      </w:rPr>
    </w:pPr>
    <w:r w:rsidRPr="00C11FD5">
      <w:rPr>
        <w:rFonts w:ascii="Verdana" w:hAnsi="Verdana"/>
        <w:sz w:val="18"/>
        <w:szCs w:val="18"/>
        <w:lang w:val="es-ES"/>
      </w:rPr>
      <w:t>Principal normativa aplicable a P</w:t>
    </w:r>
    <w:r w:rsidR="00617F65">
      <w:rPr>
        <w:rFonts w:ascii="Verdana" w:hAnsi="Verdana"/>
        <w:sz w:val="18"/>
        <w:szCs w:val="18"/>
        <w:lang w:val="es-ES"/>
      </w:rPr>
      <w:t>TA</w:t>
    </w:r>
    <w:r>
      <w:rPr>
        <w:rFonts w:ascii="Verdana" w:hAnsi="Verdana"/>
        <w:sz w:val="18"/>
        <w:szCs w:val="18"/>
        <w:lang w:val="es-ES"/>
      </w:rPr>
      <w:tab/>
    </w:r>
    <w:r>
      <w:rPr>
        <w:rFonts w:ascii="Verdana" w:hAnsi="Verdana"/>
        <w:sz w:val="18"/>
        <w:szCs w:val="18"/>
        <w:lang w:val="es-ES"/>
      </w:rPr>
      <w:tab/>
      <w:t xml:space="preserve">Página </w:t>
    </w:r>
    <w:r>
      <w:rPr>
        <w:rFonts w:ascii="Verdana" w:hAnsi="Verdana"/>
        <w:sz w:val="18"/>
        <w:szCs w:val="18"/>
        <w:lang w:val="es-ES"/>
      </w:rPr>
      <w:fldChar w:fldCharType="begin"/>
    </w:r>
    <w:r>
      <w:rPr>
        <w:rFonts w:ascii="Verdana" w:hAnsi="Verdana"/>
        <w:sz w:val="18"/>
        <w:szCs w:val="18"/>
        <w:lang w:val="es-ES"/>
      </w:rPr>
      <w:instrText xml:space="preserve"> PAGE  \* MERGEFORMAT </w:instrText>
    </w:r>
    <w:r>
      <w:rPr>
        <w:rFonts w:ascii="Verdana" w:hAnsi="Verdana"/>
        <w:sz w:val="18"/>
        <w:szCs w:val="18"/>
        <w:lang w:val="es-ES"/>
      </w:rPr>
      <w:fldChar w:fldCharType="separate"/>
    </w:r>
    <w:r>
      <w:rPr>
        <w:rFonts w:ascii="Verdana" w:hAnsi="Verdana"/>
        <w:noProof/>
        <w:sz w:val="18"/>
        <w:szCs w:val="18"/>
        <w:lang w:val="es-ES"/>
      </w:rPr>
      <w:t>1</w:t>
    </w:r>
    <w:r>
      <w:rPr>
        <w:rFonts w:ascii="Verdana" w:hAnsi="Verdana"/>
        <w:sz w:val="18"/>
        <w:szCs w:val="18"/>
        <w:lang w:val="es-ES"/>
      </w:rPr>
      <w:fldChar w:fldCharType="end"/>
    </w:r>
    <w:r>
      <w:rPr>
        <w:rFonts w:ascii="Verdana" w:hAnsi="Verdana"/>
        <w:sz w:val="18"/>
        <w:szCs w:val="18"/>
        <w:lang w:val="es-ES"/>
      </w:rPr>
      <w:t xml:space="preserve"> de </w:t>
    </w:r>
    <w:r>
      <w:rPr>
        <w:rFonts w:ascii="Verdana" w:hAnsi="Verdana"/>
        <w:sz w:val="18"/>
        <w:szCs w:val="18"/>
        <w:lang w:val="es-ES"/>
      </w:rPr>
      <w:fldChar w:fldCharType="begin"/>
    </w:r>
    <w:r>
      <w:rPr>
        <w:rFonts w:ascii="Verdana" w:hAnsi="Verdana"/>
        <w:sz w:val="18"/>
        <w:szCs w:val="18"/>
        <w:lang w:val="es-ES"/>
      </w:rPr>
      <w:instrText xml:space="preserve"> NUMPAGES  \* MERGEFORMAT </w:instrText>
    </w:r>
    <w:r>
      <w:rPr>
        <w:rFonts w:ascii="Verdana" w:hAnsi="Verdana"/>
        <w:sz w:val="18"/>
        <w:szCs w:val="18"/>
        <w:lang w:val="es-ES"/>
      </w:rPr>
      <w:fldChar w:fldCharType="separate"/>
    </w:r>
    <w:r>
      <w:rPr>
        <w:rFonts w:ascii="Verdana" w:hAnsi="Verdana"/>
        <w:noProof/>
        <w:sz w:val="18"/>
        <w:szCs w:val="18"/>
        <w:lang w:val="es-ES"/>
      </w:rPr>
      <w:t>3</w:t>
    </w:r>
    <w:r>
      <w:rPr>
        <w:rFonts w:ascii="Verdana" w:hAnsi="Verdana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5B4A" w14:textId="77777777" w:rsidR="00107B35" w:rsidRDefault="00107B35"/>
  </w:footnote>
  <w:footnote w:type="continuationSeparator" w:id="0">
    <w:p w14:paraId="67DDA20E" w14:textId="77777777" w:rsidR="00107B35" w:rsidRDefault="0010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B07" w14:textId="7D46494B" w:rsidR="00C11FD5" w:rsidRDefault="00C11FD5">
    <w:pPr>
      <w:pStyle w:val="Encabezado"/>
    </w:pPr>
    <w:r>
      <w:rPr>
        <w:noProof/>
      </w:rPr>
      <w:drawing>
        <wp:inline distT="0" distB="0" distL="0" distR="0" wp14:anchorId="0C76B93C" wp14:editId="41ACF75B">
          <wp:extent cx="1344295" cy="719455"/>
          <wp:effectExtent l="0" t="0" r="0" b="0"/>
          <wp:docPr id="1" name="Picture" descr="Dibujo con letras blanc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ibujo con letras blancas&#10;&#10;Descripción generada automáticamente con confianza media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2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146"/>
    <w:multiLevelType w:val="hybridMultilevel"/>
    <w:tmpl w:val="A8C2A1C6"/>
    <w:lvl w:ilvl="0" w:tplc="040A0011">
      <w:start w:val="1"/>
      <w:numFmt w:val="decimal"/>
      <w:lvlText w:val="%1)"/>
      <w:lvlJc w:val="left"/>
      <w:pPr>
        <w:ind w:left="936" w:hanging="360"/>
      </w:pPr>
    </w:lvl>
    <w:lvl w:ilvl="1" w:tplc="040A0019" w:tentative="1">
      <w:start w:val="1"/>
      <w:numFmt w:val="lowerLetter"/>
      <w:lvlText w:val="%2."/>
      <w:lvlJc w:val="left"/>
      <w:pPr>
        <w:ind w:left="1656" w:hanging="360"/>
      </w:pPr>
    </w:lvl>
    <w:lvl w:ilvl="2" w:tplc="040A001B" w:tentative="1">
      <w:start w:val="1"/>
      <w:numFmt w:val="lowerRoman"/>
      <w:lvlText w:val="%3."/>
      <w:lvlJc w:val="right"/>
      <w:pPr>
        <w:ind w:left="2376" w:hanging="180"/>
      </w:pPr>
    </w:lvl>
    <w:lvl w:ilvl="3" w:tplc="040A000F" w:tentative="1">
      <w:start w:val="1"/>
      <w:numFmt w:val="decimal"/>
      <w:lvlText w:val="%4."/>
      <w:lvlJc w:val="left"/>
      <w:pPr>
        <w:ind w:left="3096" w:hanging="360"/>
      </w:pPr>
    </w:lvl>
    <w:lvl w:ilvl="4" w:tplc="040A0019" w:tentative="1">
      <w:start w:val="1"/>
      <w:numFmt w:val="lowerLetter"/>
      <w:lvlText w:val="%5."/>
      <w:lvlJc w:val="left"/>
      <w:pPr>
        <w:ind w:left="3816" w:hanging="360"/>
      </w:pPr>
    </w:lvl>
    <w:lvl w:ilvl="5" w:tplc="040A001B" w:tentative="1">
      <w:start w:val="1"/>
      <w:numFmt w:val="lowerRoman"/>
      <w:lvlText w:val="%6."/>
      <w:lvlJc w:val="right"/>
      <w:pPr>
        <w:ind w:left="4536" w:hanging="180"/>
      </w:pPr>
    </w:lvl>
    <w:lvl w:ilvl="6" w:tplc="040A000F" w:tentative="1">
      <w:start w:val="1"/>
      <w:numFmt w:val="decimal"/>
      <w:lvlText w:val="%7."/>
      <w:lvlJc w:val="left"/>
      <w:pPr>
        <w:ind w:left="5256" w:hanging="360"/>
      </w:pPr>
    </w:lvl>
    <w:lvl w:ilvl="7" w:tplc="040A0019" w:tentative="1">
      <w:start w:val="1"/>
      <w:numFmt w:val="lowerLetter"/>
      <w:lvlText w:val="%8."/>
      <w:lvlJc w:val="left"/>
      <w:pPr>
        <w:ind w:left="5976" w:hanging="360"/>
      </w:pPr>
    </w:lvl>
    <w:lvl w:ilvl="8" w:tplc="0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612D58C8"/>
    <w:multiLevelType w:val="multilevel"/>
    <w:tmpl w:val="4EF45074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Verdana" w:eastAsia="Verdana" w:hAnsi="Verdana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8170120">
    <w:abstractNumId w:val="1"/>
  </w:num>
  <w:num w:numId="2" w16cid:durableId="105967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C6"/>
    <w:rsid w:val="00107B35"/>
    <w:rsid w:val="002404A7"/>
    <w:rsid w:val="002551CE"/>
    <w:rsid w:val="002C7DC6"/>
    <w:rsid w:val="00480444"/>
    <w:rsid w:val="00617F65"/>
    <w:rsid w:val="00667502"/>
    <w:rsid w:val="009B3D5E"/>
    <w:rsid w:val="00AE7767"/>
    <w:rsid w:val="00C04704"/>
    <w:rsid w:val="00C11FD5"/>
    <w:rsid w:val="00CE60DA"/>
    <w:rsid w:val="00E84BAA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CAD"/>
  <w15:docId w15:val="{D7C79556-BF35-1345-B724-5424B82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FD5"/>
  </w:style>
  <w:style w:type="paragraph" w:styleId="Piedepgina">
    <w:name w:val="footer"/>
    <w:basedOn w:val="Normal"/>
    <w:link w:val="PiedepginaCar"/>
    <w:uiPriority w:val="99"/>
    <w:unhideWhenUsed/>
    <w:rsid w:val="00C11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FD5"/>
  </w:style>
  <w:style w:type="character" w:styleId="Nmerodepgina">
    <w:name w:val="page number"/>
    <w:basedOn w:val="Fuentedeprrafopredeter"/>
    <w:uiPriority w:val="99"/>
    <w:semiHidden/>
    <w:unhideWhenUsed/>
    <w:rsid w:val="00C11FD5"/>
  </w:style>
  <w:style w:type="paragraph" w:styleId="Prrafodelista">
    <w:name w:val="List Paragraph"/>
    <w:basedOn w:val="Normal"/>
    <w:uiPriority w:val="34"/>
    <w:qFormat/>
    <w:rsid w:val="00C1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IparBilbao Abogados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Iñigo Etxezarraga</cp:lastModifiedBy>
  <cp:revision>8</cp:revision>
  <dcterms:created xsi:type="dcterms:W3CDTF">2023-05-17T05:59:00Z</dcterms:created>
  <dcterms:modified xsi:type="dcterms:W3CDTF">2023-06-01T07:45:00Z</dcterms:modified>
</cp:coreProperties>
</file>